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29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浑江区退役军人事务局202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根据《中华人民共和国政府信息公开条例》规定，现公布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浑江区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退役军人事务局202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。报告内容包括“总体情况”、“主动公开政府信息情况”、“收到和处理政府信息公开申请情况”、“政府信息公开行政复议、行政诉讼情况”“存在的主要问题及改进情况”、“其他需要报告的事项”等内容。所列数据截止日期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2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组织推动政府信息公开工作。严格贯彻落实《政府信息公开条例》规定，坚持“公开为常态、不公开为例外”的原则，按照全市政务信息公开工作要点，确定年度工作重点，明确工作任务，梳理工作环节，在规定时限内做好政务信息主动公开和依申请公开工作，努力提升政府信息公开质量，促进工作规范开展。全年在政府门户网站发布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部门微信公众号发布信息52条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积极推动政府信息主动公开。充分发挥政府门户网站、新媒体平台作用，发布政策法规、工作动态等内容。按照“谁制作、谁管理、谁公开”的原则，通过工作会议，强化职能部门政府信息公开意识，促进政府信息公开工作开展。通过公开办公电话，开展政策咨询、信息查询等工作，及时回应服务对象关心关切，退役军人在办理事项和政策咨询时，一次性告知相关事项办理流程和需要提供的材料，实现“只跑一次”，不断为退役军人办理事项提供便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（三）认真规范处理依申请公开。按照依申请公开规定，及时调整申请须知内容，畅通依申请公开渠道，做好依申请公开常态化管理，确保及时回应申请人关切。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（四）不断强化政府信息公开平台内容保障。按照全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平台管理要求，对法定主动公开内容做好常态维护，及时调整机关简介、政府信息公开指南，发布预算决算、拥军优抚、褒扬纪念、政策法规、年度报告等内容，在新媒体平台及时发布要闻等信息，通过开展自查自纠，不断强化政府信息公开平台内容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（五）全力做好宣传培训评估考核等基础工作。为强化政务信息公开工作认识，将《政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信息公开条例》纳入干部学习计划，通过办事大厅播放条例宣传视频，采取集中学习、线上自学等方式，增强条例内容理解。认真参与季度、年度评估考核，充分运用考核结果，查漏补缺，促进政务信息公开工作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4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150"/>
        <w:gridCol w:w="673"/>
        <w:gridCol w:w="742"/>
        <w:gridCol w:w="742"/>
        <w:gridCol w:w="905"/>
        <w:gridCol w:w="843"/>
        <w:gridCol w:w="700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（一）存在的主要问题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浑江区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退役军人事务局政府信息公开工作按照全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政务公开工作要求，不断提高政府信息公开广度和质量，回应退役军人关心关切。但还存在一些不足，一是对条例的学习理解需要进一步深化细化；二是对政务信息公开工作的一体推进需要不断加强。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（二）采取的措施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浑江区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退役军人事务局将继续严格贯彻落实《政府信息公开条例》，不断加强组织领导，加大学习力度，强化理解掌握。通过工作督导，促进退役军人政府信息工作整体推进，更好地为退役军人提供服务。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</w:t>
      </w:r>
    </w:p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浑江区退役军人事务局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jg3OWQ4OGViNmM4MDI0YTU5OTZlMjZlNmM2NGMifQ=="/>
  </w:docVars>
  <w:rsids>
    <w:rsidRoot w:val="26841D45"/>
    <w:rsid w:val="26841D45"/>
    <w:rsid w:val="3A4543AD"/>
    <w:rsid w:val="50A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2066</Words>
  <Characters>2108</Characters>
  <Lines>0</Lines>
  <Paragraphs>0</Paragraphs>
  <TotalTime>7</TotalTime>
  <ScaleCrop>false</ScaleCrop>
  <LinksUpToDate>false</LinksUpToDate>
  <CharactersWithSpaces>2237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2023-01-03T03:01:00Z</dcterms:created>
  <dc:creator>沙有福</dc:creator>
  <cp:lastModifiedBy>沙有福</cp:lastModifiedBy>
  <dcterms:modified xsi:type="dcterms:W3CDTF">2023-05-24T08:55:03Z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E39B9926580949E29D5BC83EF8DF83CF</vt:lpwstr>
  </property>
</Properties>
</file>