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Chars="20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0"/>
        <w:ind w:left="0" w:right="0" w:firstLineChars="20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44"/>
          <w:szCs w:val="44"/>
          <w:lang w:val="en-US" w:eastAsia="zh-CN" w:bidi="ar"/>
        </w:rPr>
        <w:t xml:space="preserve"> 浑江区三道沟镇2022年政府信息公开工作年度报告</w:t>
      </w:r>
    </w:p>
    <w:p>
      <w:pPr>
        <w:widowControl w:val="0"/>
        <w:autoSpaceDE w:val="0"/>
        <w:autoSpaceDN w:val="0"/>
        <w:spacing w:before="0" w:after="0" w:line="322" w:lineRule="exact"/>
        <w:ind w:left="634"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根据《中华人民共和国政府信息公开条例》(国务院令第711号)（以下简称《条例》），特向社会公布浑江区三道沟镇2021年度政府信息公开工作年度报告。本报告由“基本工作情况”“主动公开政府信息情况”“收到和处理政府信息公开申请情况”“政府信息行政复议和诉讼情况”“存在的问题及改进情况”“其他需要报告的事项”六个部分组成。本报告中所列数据的统计期限自2021年1月1日至2021年12月31日止。电子版可在浑江区人民政府门户网站政府信息公开专栏下载。 联系方式，电话：0439-6972521，邮编：134300，地址：白山市浑江区三道沟镇。</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一、总体情况</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2022年，三道沟镇认真贯彻落实《中华人民共和国政府信息公开条例》要求，坚持以公开透明、公平公正为主线，以服务中心、方便群众为立足点，以促进权力公开透明运行和重点领域信息公开工作为重点，围绕中心、贴近民生、强化措施，依法、及时、准确地公开了相关信息，推进信息公开工作深入开展。</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截止至2021年12月31日，三道沟镇在浑江区政府网站上主动公开政府信息共计41条，全文电子化率100%。另外，充分发挥微信公众号这一平台的积极作用，发布微信公众号152</w:t>
      </w:r>
      <w:bookmarkStart w:id="0" w:name="_GoBack"/>
      <w:bookmarkEnd w:id="0"/>
      <w:r>
        <w:rPr>
          <w:rFonts w:hint="eastAsia" w:ascii="宋体" w:hAnsi="宋体" w:eastAsia="宋体" w:cs="宋体"/>
          <w:kern w:val="2"/>
          <w:sz w:val="24"/>
          <w:szCs w:val="24"/>
          <w:lang w:val="en-US" w:eastAsia="zh-CN" w:bidi="ar"/>
        </w:rPr>
        <w:t>条，让群众能够随时随地在手机上了解工作动态和民生信息。</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ascii="楷体" w:hAnsi="楷体" w:eastAsia="楷体" w:cs="楷体"/>
          <w:kern w:val="2"/>
          <w:sz w:val="24"/>
          <w:szCs w:val="24"/>
          <w:lang w:val="en-US" w:eastAsia="zh-CN" w:bidi="ar"/>
        </w:rPr>
        <w:t>（一）积极推动政府信息主动公开。</w:t>
      </w:r>
      <w:r>
        <w:rPr>
          <w:rFonts w:hint="eastAsia" w:ascii="宋体" w:hAnsi="宋体" w:eastAsia="宋体" w:cs="宋体"/>
          <w:kern w:val="2"/>
          <w:sz w:val="24"/>
          <w:szCs w:val="24"/>
          <w:lang w:val="en-US" w:eastAsia="zh-CN" w:bidi="ar"/>
        </w:rPr>
        <w:t>三道沟镇高度重视政务公开工作，将政府信息公开工作作为践行习近平新时代中国特色社会主义思想和总书记系列重要讲话精神的具体体现，成立政府信息公开领导小组和监督小组，形成了一级抓一级、层层抓落实的领导机制。同时积极拓宽公开渠道,创新公开方式，丰富公开载体，做到政府信息应公开尽公开，为助推经济社会高质量发展创造了良好环境。</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楷体" w:hAnsi="楷体" w:eastAsia="楷体" w:cs="楷体"/>
          <w:kern w:val="2"/>
          <w:sz w:val="24"/>
          <w:szCs w:val="24"/>
          <w:lang w:val="en-US" w:eastAsia="zh-CN" w:bidi="ar"/>
        </w:rPr>
        <w:t>（二）认真规范处理依申请公开。</w:t>
      </w:r>
      <w:r>
        <w:rPr>
          <w:rFonts w:hint="eastAsia" w:ascii="宋体" w:hAnsi="宋体" w:eastAsia="宋体" w:cs="宋体"/>
          <w:kern w:val="2"/>
          <w:sz w:val="24"/>
          <w:szCs w:val="24"/>
          <w:lang w:val="en-US" w:eastAsia="zh-CN" w:bidi="ar"/>
        </w:rPr>
        <w:t>政务公开是保障群众对政府工作知情权、表达权、参与权和监督权的重要途径。当前，在优营商环境的关键时期，做好政务公开工作，对于提高政府工作透明度、促进依法行政意义重大。按照相关规定认真规范处理各个依申请公开事项，通过分析和研判，2021年，三道沟镇不涉及依申请公开政府信息办理事项。</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楷体" w:hAnsi="楷体" w:eastAsia="楷体" w:cs="楷体"/>
          <w:kern w:val="2"/>
          <w:sz w:val="24"/>
          <w:szCs w:val="24"/>
          <w:lang w:val="en-US" w:eastAsia="zh-CN" w:bidi="ar"/>
        </w:rPr>
        <w:t>（三）不断强化政府信息公开平台内容保障。</w:t>
      </w:r>
      <w:r>
        <w:rPr>
          <w:rFonts w:hint="eastAsia" w:ascii="宋体" w:hAnsi="宋体" w:eastAsia="宋体" w:cs="宋体"/>
          <w:kern w:val="2"/>
          <w:sz w:val="24"/>
          <w:szCs w:val="24"/>
          <w:lang w:val="en-US" w:eastAsia="zh-CN" w:bidi="ar"/>
        </w:rPr>
        <w:t>利用各种形式宣传政府信息公开工作，督促各站办所、社区及时上报相关信息，为政府信息公开提供及时准确依据。一是通过信息公开平台管理系统，及时发布政策法规、服务事项和基层工作动态；二是依托微信公众平台，及时更新推送疫情防控、安全生产以及惠民政策等相关内容，同时做好群众留言的反馈沟通，及时解决群众来访问题；三是加强政务公开阵地建设，通过公开公示重要政策文件、“三重一大”事项和涉及群众切身利益的内容。</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楷体" w:hAnsi="楷体" w:eastAsia="楷体" w:cs="楷体"/>
          <w:kern w:val="2"/>
          <w:sz w:val="24"/>
          <w:szCs w:val="24"/>
          <w:lang w:val="en-US" w:eastAsia="zh-CN" w:bidi="ar"/>
        </w:rPr>
        <w:t>（四）全力做好宣传培训评估考核等基础工作。</w:t>
      </w:r>
      <w:r>
        <w:rPr>
          <w:rFonts w:hint="eastAsia" w:ascii="宋体" w:hAnsi="宋体" w:eastAsia="宋体" w:cs="宋体"/>
          <w:kern w:val="2"/>
          <w:sz w:val="24"/>
          <w:szCs w:val="24"/>
          <w:lang w:val="en-US" w:eastAsia="zh-CN" w:bidi="ar"/>
        </w:rPr>
        <w:t>细化监督检查工作措施，加强对各站办所、社区的督导力度，确保政务公开工作取得实效。积极做好政策解读、舆情回应、内容保障、安全防护、监督管理等工作，不断加大重点领域信息公开力度，内容涉及政策解读、民生服务、政务信息、生态建设等多个方面。建立并完善安全监测预警机制，明确政务公开平台安全责任人，不断推进政务公开信息制度化、规范化建设。</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二、主动公开政府信息情况</w:t>
      </w:r>
    </w:p>
    <w:tbl>
      <w:tblPr>
        <w:tblStyle w:val="3"/>
        <w:tblW w:w="9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61"/>
        <w:gridCol w:w="2184"/>
        <w:gridCol w:w="2184"/>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autoSpaceDE w:val="0"/>
              <w:autoSpaceDN/>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2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21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2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21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bl>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三、收到和处理政府信息公开申请情况</w:t>
      </w:r>
    </w:p>
    <w:p>
      <w:pPr>
        <w:keepNext w:val="0"/>
        <w:keepLines w:val="0"/>
        <w:widowControl/>
        <w:suppressLineNumbers w:val="0"/>
        <w:spacing w:before="0" w:beforeAutospacing="0" w:after="0" w:afterAutospacing="0" w:line="1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1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bl>
      <w:tblPr>
        <w:tblStyle w:val="3"/>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1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48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411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自然人</w:t>
            </w:r>
          </w:p>
        </w:tc>
        <w:tc>
          <w:tcPr>
            <w:tcW w:w="35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法人或其他组织</w:t>
            </w:r>
          </w:p>
        </w:tc>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68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商业企业</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科研机构</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社会公益组织</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法律服务机构</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其他</w:t>
            </w:r>
          </w:p>
        </w:tc>
        <w:tc>
          <w:tcPr>
            <w:tcW w:w="6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一、本年新收政府信息公开申请数量</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二、上年结转政府信息公开申请数量</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trPr>
        <w:tc>
          <w:tcPr>
            <w:tcW w:w="6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三、本年度办理结果</w:t>
            </w: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（一）予以公开</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（二）部分公开（区分处理的，只计这一情形，不计其他情形）</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（三）不予公开</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1.属于国家秘密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2.其他法律行政法规禁止公开</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3.危及“三安全一稳定”</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4.保护第三方合法权益</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5.属于三类内部事务信息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6.属于四类过程性信息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7.属于行政执法案卷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8.属于行政查询事项</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（四）无法提供</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1.本机关不掌握相关政府信息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2.没有现成信息需要另行制作</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3.补正后申请内容仍不明确</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（五）不予处理</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1.信访举报投诉类申请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2.重复申请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3.要求提供公开出版物</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4.无正当理由大量反复申请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5.要求行政机关确认或重新出具已获取信息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（六）其他处理</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3.其他</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（七）总计</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四、结转下年度继续办理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0</w:t>
            </w:r>
          </w:p>
        </w:tc>
      </w:tr>
    </w:tbl>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四、政府信息公开行政复议、行政诉讼情况</w:t>
      </w:r>
    </w:p>
    <w:p>
      <w:pPr>
        <w:keepNext w:val="0"/>
        <w:keepLines w:val="0"/>
        <w:widowControl/>
        <w:suppressLineNumbers w:val="0"/>
        <w:spacing w:before="0" w:beforeAutospacing="0" w:after="0" w:afterAutospacing="0" w:line="1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1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bl>
      <w:tblPr>
        <w:tblStyle w:val="3"/>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9"/>
        <w:gridCol w:w="599"/>
        <w:gridCol w:w="599"/>
        <w:gridCol w:w="607"/>
        <w:gridCol w:w="600"/>
        <w:gridCol w:w="628"/>
        <w:gridCol w:w="600"/>
        <w:gridCol w:w="600"/>
        <w:gridCol w:w="618"/>
        <w:gridCol w:w="600"/>
        <w:gridCol w:w="600"/>
        <w:gridCol w:w="600"/>
        <w:gridCol w:w="607"/>
        <w:gridCol w:w="60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2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行政复议</w:t>
            </w:r>
          </w:p>
        </w:tc>
        <w:tc>
          <w:tcPr>
            <w:tcW w:w="604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结果维持</w:t>
            </w:r>
          </w:p>
        </w:tc>
        <w:tc>
          <w:tcPr>
            <w:tcW w:w="5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尚未审结</w:t>
            </w:r>
          </w:p>
        </w:tc>
        <w:tc>
          <w:tcPr>
            <w:tcW w:w="6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总计</w:t>
            </w:r>
          </w:p>
        </w:tc>
        <w:tc>
          <w:tcPr>
            <w:tcW w:w="304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未经复议直接起诉</w:t>
            </w:r>
          </w:p>
        </w:tc>
        <w:tc>
          <w:tcPr>
            <w:tcW w:w="300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5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1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结果维持</w:t>
            </w:r>
          </w:p>
        </w:tc>
        <w:tc>
          <w:tcPr>
            <w:tcW w:w="5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结果纠正</w:t>
            </w:r>
          </w:p>
        </w:tc>
        <w:tc>
          <w:tcPr>
            <w:tcW w:w="5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其他结果</w:t>
            </w:r>
          </w:p>
        </w:tc>
        <w:tc>
          <w:tcPr>
            <w:tcW w:w="62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尚未审结</w:t>
            </w:r>
          </w:p>
        </w:tc>
        <w:tc>
          <w:tcPr>
            <w:tcW w:w="5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总计</w:t>
            </w:r>
          </w:p>
        </w:tc>
        <w:tc>
          <w:tcPr>
            <w:tcW w:w="5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结果维持</w:t>
            </w:r>
          </w:p>
        </w:tc>
        <w:tc>
          <w:tcPr>
            <w:tcW w:w="6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结果纠正</w:t>
            </w:r>
          </w:p>
        </w:tc>
        <w:tc>
          <w:tcPr>
            <w:tcW w:w="6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其他结果</w:t>
            </w:r>
          </w:p>
        </w:tc>
        <w:tc>
          <w:tcPr>
            <w:tcW w:w="5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尚未审结</w:t>
            </w:r>
          </w:p>
        </w:tc>
        <w:tc>
          <w:tcPr>
            <w:tcW w:w="6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五、存在的主要问题及改进情况</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2021年，三道沟镇在政府信息公开工作方面加强了组织领导，狠抓制度建设，丰富公开内容，取得了一定的成效。但尚存在一些问题。一是对《条例》和市区政府信息公开工作规定的学习掌握还不够好；二是公开政府信息的主动性还有待加强；三是公开的内容和形式还欠丰富。</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2022年，三道沟镇将从以下四个方面对政府信息公开工作进行改进：</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一是优化政务信息公开渠道。加强三道沟镇政府信息公开网络建设，进一步规范做好政府信息公开工作。以政府信息公开带动办事公开，以办事公开带动便民服务，进一步推动政府信息公开与服务群众相结合。</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二是进一步扩大政务信息公开内容。三道沟镇将进一步梳理政务信息，对原有的政务信息公开目录进行完善和补充，确保公开信息的完整性和准确性。</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三是进一步提高政务网站服务功能。以方便群众查询的角度进一步整合网站信息资源和服务资源，合理设置信息公开栏目界面，方便查找政府信息，提高网上服务效率。</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四是不断建立和完善政府信息公开内容审查和更新维护等工作制度，落实好政府信息公开各项保障措施，进一步加强政府信息公开的监督、检查及考核工作。</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2"/>
          <w:sz w:val="24"/>
          <w:szCs w:val="24"/>
          <w:lang w:val="en-US" w:eastAsia="zh-CN" w:bidi="ar"/>
        </w:rPr>
        <w:t>六、其他需要报告的事项</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Chars="20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无</w:t>
      </w:r>
    </w:p>
    <w:p>
      <w:pPr>
        <w:keepNext w:val="0"/>
        <w:keepLines w:val="0"/>
        <w:widowControl w:val="0"/>
        <w:suppressLineNumbers w:val="0"/>
        <w:autoSpaceDE w:val="0"/>
        <w:autoSpaceDN/>
        <w:spacing w:before="157" w:beforeLines="50" w:beforeAutospacing="0" w:after="157" w:afterLines="50" w:afterAutospacing="0" w:line="360" w:lineRule="auto"/>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 xml:space="preserve"> </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right"/>
      </w:pPr>
      <w:r>
        <w:rPr>
          <w:rFonts w:hint="eastAsia" w:ascii="宋体" w:hAnsi="宋体" w:eastAsia="宋体" w:cs="宋体"/>
          <w:kern w:val="2"/>
          <w:sz w:val="24"/>
          <w:szCs w:val="24"/>
          <w:lang w:val="en-US" w:eastAsia="zh-CN" w:bidi="ar"/>
        </w:rPr>
        <w:t>三道沟镇人民政府</w:t>
      </w:r>
    </w:p>
    <w:p>
      <w:pPr>
        <w:keepNext w:val="0"/>
        <w:keepLines w:val="0"/>
        <w:widowControl/>
        <w:suppressLineNumbers w:val="0"/>
        <w:spacing w:before="0" w:beforeAutospacing="0" w:after="0" w:afterAutospacing="0"/>
        <w:ind w:left="0" w:right="0"/>
        <w:jc w:val="right"/>
      </w:pPr>
      <w:r>
        <w:rPr>
          <w:rFonts w:hint="eastAsia" w:ascii="宋体" w:hAnsi="宋体" w:eastAsia="宋体" w:cs="宋体"/>
          <w:kern w:val="2"/>
          <w:sz w:val="24"/>
          <w:szCs w:val="24"/>
          <w:lang w:val="en-US" w:eastAsia="zh-CN" w:bidi="ar"/>
        </w:rPr>
        <w:t>2021年12月31日</w:t>
      </w:r>
    </w:p>
    <w:p>
      <w:pPr>
        <w:pStyle w:val="2"/>
        <w:keepNext w:val="0"/>
        <w:keepLines w:val="0"/>
        <w:widowControl/>
        <w:suppressLineNumbers w:val="0"/>
        <w:spacing w:before="0" w:beforeAutospacing="0" w:after="0" w:afterAutospacing="0" w:line="10" w:lineRule="atLeast"/>
        <w:jc w:val="right"/>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WQzYWY2ZjQxYjVjNjlmNTA1NzkxY2JiNTZkYzUifQ=="/>
  </w:docVars>
  <w:rsids>
    <w:rsidRoot w:val="134019F2"/>
    <w:rsid w:val="134019F2"/>
    <w:rsid w:val="22401B54"/>
    <w:rsid w:val="26B55CDB"/>
    <w:rsid w:val="4DB37669"/>
    <w:rsid w:val="519917FE"/>
    <w:rsid w:val="64B77A16"/>
    <w:rsid w:val="7458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2607</Words>
  <Characters>2684</Characters>
  <Lines>0</Lines>
  <Paragraphs>0</Paragraphs>
  <TotalTime>3</TotalTime>
  <ScaleCrop>false</ScaleCrop>
  <LinksUpToDate>false</LinksUpToDate>
  <CharactersWithSpaces>3344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2022-12-14T07:30:00Z</dcterms:created>
  <dc:creator>Administrator</dc:creator>
  <cp:lastModifiedBy>Administrator</cp:lastModifiedBy>
  <dcterms:modified xsi:type="dcterms:W3CDTF">2022-12-15T05:47:23Z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AC9A55A0079641D19BD674FC1DC7950A</vt:lpwstr>
  </property>
</Properties>
</file>